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67" w:rsidRPr="00155881" w:rsidRDefault="00281E5D" w:rsidP="00155881">
      <w:pPr>
        <w:jc w:val="center"/>
        <w:rPr>
          <w:b/>
        </w:rPr>
      </w:pPr>
      <w:r>
        <w:rPr>
          <w:rFonts w:hint="eastAsia"/>
          <w:b/>
        </w:rPr>
        <w:t>意思伝達が</w:t>
      </w:r>
      <w:bookmarkStart w:id="0" w:name="_GoBack"/>
      <w:bookmarkEnd w:id="0"/>
      <w:r>
        <w:rPr>
          <w:rFonts w:hint="eastAsia"/>
          <w:b/>
        </w:rPr>
        <w:t>苦手な障がい者のアセスメントと評価</w:t>
      </w:r>
      <w:r w:rsidR="00872067" w:rsidRPr="00155881">
        <w:rPr>
          <w:rFonts w:hint="eastAsia"/>
          <w:b/>
        </w:rPr>
        <w:t xml:space="preserve">　第</w:t>
      </w:r>
      <w:r w:rsidR="00DE34DF">
        <w:rPr>
          <w:rFonts w:hint="eastAsia"/>
          <w:b/>
        </w:rPr>
        <w:t>2</w:t>
      </w:r>
      <w:r w:rsidR="00872067" w:rsidRPr="00155881">
        <w:rPr>
          <w:rFonts w:hint="eastAsia"/>
          <w:b/>
        </w:rPr>
        <w:t>回「</w:t>
      </w:r>
      <w:r>
        <w:rPr>
          <w:rFonts w:hint="eastAsia"/>
          <w:b/>
        </w:rPr>
        <w:t>個人とそれを取り巻く世界全体のアセスメント</w:t>
      </w:r>
      <w:r w:rsidR="00872067" w:rsidRPr="00155881">
        <w:rPr>
          <w:rFonts w:hint="eastAsia"/>
          <w:b/>
        </w:rPr>
        <w:t>」</w:t>
      </w:r>
      <w:r w:rsidR="006C03F8" w:rsidRPr="006C03F8">
        <w:rPr>
          <w:b/>
        </w:rPr>
        <w:t>01</w:t>
      </w:r>
      <w:r w:rsidR="0083281B">
        <w:rPr>
          <w:rFonts w:hint="eastAsia"/>
          <w:b/>
        </w:rPr>
        <w:t>19</w:t>
      </w:r>
      <w:r>
        <w:rPr>
          <w:rFonts w:hint="eastAsia"/>
          <w:b/>
        </w:rPr>
        <w:t>08</w:t>
      </w:r>
      <w:r w:rsidR="0083281B">
        <w:rPr>
          <w:rFonts w:hint="eastAsia"/>
          <w:b/>
        </w:rPr>
        <w:t>0</w:t>
      </w:r>
      <w:r w:rsidR="00DE34DF">
        <w:rPr>
          <w:rFonts w:hint="eastAsia"/>
          <w:b/>
        </w:rPr>
        <w:t>2</w:t>
      </w:r>
      <w:r w:rsidR="0083281B">
        <w:rPr>
          <w:b/>
        </w:rPr>
        <w:t>w</w:t>
      </w:r>
      <w:r w:rsidR="00454E99">
        <w:rPr>
          <w:rFonts w:hint="eastAsia"/>
          <w:b/>
        </w:rPr>
        <w:t>t</w:t>
      </w:r>
      <w:r w:rsidR="006C03F8" w:rsidRPr="006C03F8">
        <w:rPr>
          <w:b/>
        </w:rPr>
        <w:t>j</w:t>
      </w:r>
    </w:p>
    <w:tbl>
      <w:tblPr>
        <w:tblStyle w:val="a3"/>
        <w:tblpPr w:leftFromText="142" w:rightFromText="142" w:vertAnchor="text" w:tblpX="250" w:tblpY="1"/>
        <w:tblOverlap w:val="never"/>
        <w:tblW w:w="0" w:type="auto"/>
        <w:tblLook w:val="04A0" w:firstRow="1" w:lastRow="0" w:firstColumn="1" w:lastColumn="0" w:noHBand="0" w:noVBand="1"/>
      </w:tblPr>
      <w:tblGrid>
        <w:gridCol w:w="851"/>
        <w:gridCol w:w="3118"/>
        <w:gridCol w:w="3260"/>
        <w:gridCol w:w="7655"/>
      </w:tblGrid>
      <w:tr w:rsidR="00872067" w:rsidTr="004E3EDF">
        <w:tc>
          <w:tcPr>
            <w:tcW w:w="851" w:type="dxa"/>
            <w:vAlign w:val="center"/>
          </w:tcPr>
          <w:p w:rsidR="00872067" w:rsidRPr="00081CB9" w:rsidRDefault="00872067" w:rsidP="004E3EDF">
            <w:pPr>
              <w:jc w:val="center"/>
            </w:pPr>
            <w:r w:rsidRPr="00081CB9">
              <w:rPr>
                <w:rFonts w:hint="eastAsia"/>
              </w:rPr>
              <w:t>シート＃</w:t>
            </w:r>
          </w:p>
        </w:tc>
        <w:tc>
          <w:tcPr>
            <w:tcW w:w="3118" w:type="dxa"/>
            <w:vAlign w:val="center"/>
          </w:tcPr>
          <w:p w:rsidR="00872067" w:rsidRPr="00081CB9" w:rsidRDefault="00872067" w:rsidP="004E3EDF">
            <w:pPr>
              <w:jc w:val="center"/>
            </w:pPr>
            <w:r w:rsidRPr="00081CB9">
              <w:rPr>
                <w:rFonts w:hint="eastAsia"/>
              </w:rPr>
              <w:t>シートタイトル</w:t>
            </w:r>
          </w:p>
        </w:tc>
        <w:tc>
          <w:tcPr>
            <w:tcW w:w="3260" w:type="dxa"/>
            <w:vAlign w:val="center"/>
          </w:tcPr>
          <w:p w:rsidR="00872067" w:rsidRPr="00081CB9" w:rsidRDefault="00872067" w:rsidP="004E3EDF">
            <w:pPr>
              <w:jc w:val="center"/>
            </w:pPr>
            <w:r w:rsidRPr="00081CB9">
              <w:rPr>
                <w:rFonts w:hint="eastAsia"/>
              </w:rPr>
              <w:t>小見出し</w:t>
            </w:r>
          </w:p>
        </w:tc>
        <w:tc>
          <w:tcPr>
            <w:tcW w:w="7655" w:type="dxa"/>
            <w:vAlign w:val="center"/>
          </w:tcPr>
          <w:p w:rsidR="00872067" w:rsidRDefault="00155881" w:rsidP="004E3EDF">
            <w:pPr>
              <w:jc w:val="center"/>
            </w:pPr>
            <w:r w:rsidRPr="00155881">
              <w:rPr>
                <w:rFonts w:hint="eastAsia"/>
              </w:rPr>
              <w:t>要点　「」はテロップ</w:t>
            </w:r>
          </w:p>
        </w:tc>
      </w:tr>
      <w:tr w:rsidR="00BC58CE" w:rsidTr="004E3EDF">
        <w:tc>
          <w:tcPr>
            <w:tcW w:w="851" w:type="dxa"/>
            <w:vMerge w:val="restart"/>
          </w:tcPr>
          <w:p w:rsidR="00BC58CE" w:rsidRDefault="00BC58CE" w:rsidP="004E3EDF">
            <w:pPr>
              <w:jc w:val="center"/>
            </w:pPr>
            <w:r w:rsidRPr="00155881">
              <w:rPr>
                <w:rFonts w:hint="eastAsia"/>
              </w:rPr>
              <w:t>P</w:t>
            </w:r>
            <w:r>
              <w:rPr>
                <w:rFonts w:hint="eastAsia"/>
              </w:rPr>
              <w:t>1</w:t>
            </w:r>
          </w:p>
          <w:p w:rsidR="00BC58CE" w:rsidRDefault="00BC58CE" w:rsidP="004E3EDF">
            <w:pPr>
              <w:jc w:val="center"/>
            </w:pPr>
            <w:r>
              <w:rPr>
                <w:rFonts w:hint="eastAsia"/>
              </w:rPr>
              <w:t>左下</w:t>
            </w:r>
          </w:p>
        </w:tc>
        <w:tc>
          <w:tcPr>
            <w:tcW w:w="3118" w:type="dxa"/>
            <w:vMerge w:val="restart"/>
          </w:tcPr>
          <w:p w:rsidR="00BC58CE" w:rsidRDefault="00BC58CE" w:rsidP="004E3EDF">
            <w:r>
              <w:rPr>
                <w:rFonts w:hint="eastAsia"/>
              </w:rPr>
              <w:t>生活をアセスメントする視点</w:t>
            </w:r>
          </w:p>
        </w:tc>
        <w:tc>
          <w:tcPr>
            <w:tcW w:w="3260" w:type="dxa"/>
          </w:tcPr>
          <w:p w:rsidR="00BC58CE" w:rsidRDefault="00BC58CE" w:rsidP="004E3EDF">
            <w:r>
              <w:rPr>
                <w:rFonts w:hint="eastAsia"/>
              </w:rPr>
              <w:t>■「個人」「環境」「個人⇔環境」の</w:t>
            </w:r>
            <w:r>
              <w:rPr>
                <w:rFonts w:hint="eastAsia"/>
              </w:rPr>
              <w:t>3</w:t>
            </w:r>
            <w:r>
              <w:rPr>
                <w:rFonts w:hint="eastAsia"/>
              </w:rPr>
              <w:t>つの視点から</w:t>
            </w:r>
          </w:p>
        </w:tc>
        <w:tc>
          <w:tcPr>
            <w:tcW w:w="7655" w:type="dxa"/>
          </w:tcPr>
          <w:p w:rsidR="00BC58CE" w:rsidRDefault="00BC58CE" w:rsidP="004E3EDF">
            <w:r>
              <w:rPr>
                <w:rFonts w:hint="eastAsia"/>
              </w:rPr>
              <w:t>利用者のアセスメントは、個人、個人を取り巻く環境、そして個人と環境の相互作用の</w:t>
            </w:r>
            <w:r>
              <w:rPr>
                <w:rFonts w:hint="eastAsia"/>
              </w:rPr>
              <w:t>3</w:t>
            </w:r>
            <w:r>
              <w:rPr>
                <w:rFonts w:hint="eastAsia"/>
              </w:rPr>
              <w:t>つの視点から見ていくことが大事になる。</w:t>
            </w:r>
          </w:p>
          <w:p w:rsidR="00BC58CE" w:rsidRDefault="00BC58CE" w:rsidP="00FF6E33">
            <w:r>
              <w:rPr>
                <w:rFonts w:hint="eastAsia"/>
              </w:rPr>
              <w:t>特に、「利用者と利用者の関係、利用者と支援者の関係、それを見ている支援者のアセスメント、利用者と地域社会の人たちとの関係」をきちんと見ていくことがとても大事になる。</w:t>
            </w:r>
          </w:p>
        </w:tc>
      </w:tr>
      <w:tr w:rsidR="00BC58CE" w:rsidTr="004E3EDF">
        <w:tc>
          <w:tcPr>
            <w:tcW w:w="851" w:type="dxa"/>
            <w:vMerge/>
          </w:tcPr>
          <w:p w:rsidR="00BC58CE" w:rsidRDefault="00BC58CE" w:rsidP="004E3EDF">
            <w:pPr>
              <w:jc w:val="center"/>
            </w:pPr>
          </w:p>
        </w:tc>
        <w:tc>
          <w:tcPr>
            <w:tcW w:w="3118" w:type="dxa"/>
            <w:vMerge/>
          </w:tcPr>
          <w:p w:rsidR="00BC58CE" w:rsidRDefault="00BC58CE" w:rsidP="004E3EDF"/>
        </w:tc>
        <w:tc>
          <w:tcPr>
            <w:tcW w:w="3260" w:type="dxa"/>
          </w:tcPr>
          <w:p w:rsidR="00BC58CE" w:rsidRDefault="00BC58CE" w:rsidP="004E3EDF">
            <w:r>
              <w:rPr>
                <w:rFonts w:hint="eastAsia"/>
              </w:rPr>
              <w:t>■</w:t>
            </w:r>
            <w:r>
              <w:rPr>
                <w:rFonts w:hint="eastAsia"/>
              </w:rPr>
              <w:t>Well-b</w:t>
            </w:r>
            <w:r>
              <w:t>eing</w:t>
            </w:r>
            <w:r>
              <w:rPr>
                <w:rFonts w:hint="eastAsia"/>
              </w:rPr>
              <w:t>の支援と</w:t>
            </w:r>
            <w:r>
              <w:t>being</w:t>
            </w:r>
            <w:r>
              <w:rPr>
                <w:rFonts w:hint="eastAsia"/>
              </w:rPr>
              <w:t>の支援</w:t>
            </w:r>
          </w:p>
        </w:tc>
        <w:tc>
          <w:tcPr>
            <w:tcW w:w="7655" w:type="dxa"/>
          </w:tcPr>
          <w:p w:rsidR="00BC58CE" w:rsidRDefault="00BC58CE" w:rsidP="002B6B95">
            <w:r>
              <w:rPr>
                <w:rFonts w:hint="eastAsia"/>
              </w:rPr>
              <w:t>生活の中で見るアセスメントは、</w:t>
            </w:r>
            <w:r>
              <w:t xml:space="preserve"> </w:t>
            </w:r>
            <w:r w:rsidRPr="00D54080">
              <w:t>Well-being</w:t>
            </w:r>
            <w:r>
              <w:rPr>
                <w:rFonts w:hint="eastAsia"/>
              </w:rPr>
              <w:t>の支援、今の状態よりもよりよく生きる支援、そして</w:t>
            </w:r>
            <w:r>
              <w:t xml:space="preserve"> </w:t>
            </w:r>
            <w:r w:rsidRPr="004F766F">
              <w:t>being</w:t>
            </w:r>
            <w:r>
              <w:rPr>
                <w:rFonts w:hint="eastAsia"/>
              </w:rPr>
              <w:t>の支援、安心・安全、生命活動や健康状態ということになるが、「生活面と健康面を併せて見ていくことがとても大事」になる。</w:t>
            </w:r>
          </w:p>
        </w:tc>
      </w:tr>
      <w:tr w:rsidR="00BC58CE" w:rsidTr="004E3EDF">
        <w:tc>
          <w:tcPr>
            <w:tcW w:w="851" w:type="dxa"/>
            <w:vMerge/>
          </w:tcPr>
          <w:p w:rsidR="00BC58CE" w:rsidRDefault="00BC58CE" w:rsidP="004E3EDF">
            <w:pPr>
              <w:jc w:val="center"/>
            </w:pPr>
          </w:p>
        </w:tc>
        <w:tc>
          <w:tcPr>
            <w:tcW w:w="3118" w:type="dxa"/>
            <w:vMerge/>
          </w:tcPr>
          <w:p w:rsidR="00BC58CE" w:rsidRDefault="00BC58CE" w:rsidP="004E3EDF"/>
        </w:tc>
        <w:tc>
          <w:tcPr>
            <w:tcW w:w="3260" w:type="dxa"/>
          </w:tcPr>
          <w:p w:rsidR="00BC58CE" w:rsidRDefault="00BC58CE" w:rsidP="004E3EDF">
            <w:r>
              <w:rPr>
                <w:rFonts w:hint="eastAsia"/>
              </w:rPr>
              <w:t>■生活は人それぞれ⇒個別性</w:t>
            </w:r>
          </w:p>
        </w:tc>
        <w:tc>
          <w:tcPr>
            <w:tcW w:w="7655" w:type="dxa"/>
          </w:tcPr>
          <w:p w:rsidR="00BC58CE" w:rsidRDefault="00BC58CE" w:rsidP="004E3EDF">
            <w:r>
              <w:rPr>
                <w:rFonts w:hint="eastAsia"/>
              </w:rPr>
              <w:t>生活はひとそれぞれの個別性にある。</w:t>
            </w:r>
          </w:p>
          <w:p w:rsidR="00BC58CE" w:rsidRDefault="00BC58CE" w:rsidP="005E265B">
            <w:r>
              <w:rPr>
                <w:rFonts w:hint="eastAsia"/>
              </w:rPr>
              <w:t>アセスメントはその利用者にあわせたものが使われているか。ベースは同じかもしれないが「一人ひとりに合ったアセスメントが開発されてくる必要がある。そういう視点で見ていくことが大事」になる。</w:t>
            </w:r>
          </w:p>
        </w:tc>
      </w:tr>
      <w:tr w:rsidR="00BC58CE" w:rsidTr="004E3EDF">
        <w:tc>
          <w:tcPr>
            <w:tcW w:w="851" w:type="dxa"/>
            <w:vMerge/>
          </w:tcPr>
          <w:p w:rsidR="00BC58CE" w:rsidRDefault="00BC58CE" w:rsidP="004E3EDF">
            <w:pPr>
              <w:jc w:val="center"/>
            </w:pPr>
          </w:p>
        </w:tc>
        <w:tc>
          <w:tcPr>
            <w:tcW w:w="3118" w:type="dxa"/>
            <w:vMerge/>
          </w:tcPr>
          <w:p w:rsidR="00BC58CE" w:rsidRDefault="00BC58CE" w:rsidP="004E3EDF"/>
        </w:tc>
        <w:tc>
          <w:tcPr>
            <w:tcW w:w="3260" w:type="dxa"/>
          </w:tcPr>
          <w:p w:rsidR="00BC58CE" w:rsidRDefault="00BC58CE" w:rsidP="004E3EDF">
            <w:r>
              <w:rPr>
                <w:rFonts w:hint="eastAsia"/>
              </w:rPr>
              <w:t>■生活の全体性⇒支援で分断しない</w:t>
            </w:r>
          </w:p>
        </w:tc>
        <w:tc>
          <w:tcPr>
            <w:tcW w:w="7655" w:type="dxa"/>
          </w:tcPr>
          <w:p w:rsidR="00BC58CE" w:rsidRDefault="00BC58CE" w:rsidP="004E3EDF">
            <w:r>
              <w:rPr>
                <w:rFonts w:hint="eastAsia"/>
              </w:rPr>
              <w:t>支援で生活の全体性を分断していないか。相談支援事業のサービス等利用計画があるが、これと施設の個別支援計画がリンクしているか。</w:t>
            </w:r>
          </w:p>
        </w:tc>
      </w:tr>
      <w:tr w:rsidR="00BC58CE" w:rsidTr="004E3EDF">
        <w:tc>
          <w:tcPr>
            <w:tcW w:w="851" w:type="dxa"/>
            <w:vMerge/>
          </w:tcPr>
          <w:p w:rsidR="00BC58CE" w:rsidRDefault="00BC58CE" w:rsidP="004E3EDF">
            <w:pPr>
              <w:jc w:val="center"/>
            </w:pPr>
          </w:p>
        </w:tc>
        <w:tc>
          <w:tcPr>
            <w:tcW w:w="3118" w:type="dxa"/>
            <w:vMerge/>
          </w:tcPr>
          <w:p w:rsidR="00BC58CE" w:rsidRDefault="00BC58CE" w:rsidP="004E3EDF"/>
        </w:tc>
        <w:tc>
          <w:tcPr>
            <w:tcW w:w="3260" w:type="dxa"/>
          </w:tcPr>
          <w:p w:rsidR="00BC58CE" w:rsidRDefault="00BC58CE" w:rsidP="004E3EDF">
            <w:r w:rsidRPr="00C972BD">
              <w:rPr>
                <w:rFonts w:hint="eastAsia"/>
              </w:rPr>
              <w:t>■生活は不得意より得意なことを中心に営まれる</w:t>
            </w:r>
          </w:p>
        </w:tc>
        <w:tc>
          <w:tcPr>
            <w:tcW w:w="7655" w:type="dxa"/>
          </w:tcPr>
          <w:p w:rsidR="00BC58CE" w:rsidRDefault="00BC58CE" w:rsidP="004E3EDF">
            <w:r>
              <w:rPr>
                <w:rFonts w:hint="eastAsia"/>
              </w:rPr>
              <w:t>「私たちは得意なことでマイナス面を補っている」といえる。「得意なことがなければ、自信もできないし、生きいきと生きていくことはできない」。利用者の得意なところを伸ばしていく、あるいは利用者の生活が得意なところを中心に営まれているという視点で、もう一度生活をアセスメントすることを考えていただきたい。</w:t>
            </w:r>
          </w:p>
        </w:tc>
      </w:tr>
      <w:tr w:rsidR="00BC58CE" w:rsidTr="004E3EDF">
        <w:tc>
          <w:tcPr>
            <w:tcW w:w="851" w:type="dxa"/>
            <w:vMerge/>
          </w:tcPr>
          <w:p w:rsidR="00BC58CE" w:rsidRDefault="00BC58CE" w:rsidP="004E3EDF">
            <w:pPr>
              <w:jc w:val="center"/>
            </w:pPr>
          </w:p>
        </w:tc>
        <w:tc>
          <w:tcPr>
            <w:tcW w:w="3118" w:type="dxa"/>
            <w:vMerge/>
          </w:tcPr>
          <w:p w:rsidR="00BC58CE" w:rsidRDefault="00BC58CE" w:rsidP="004E3EDF"/>
        </w:tc>
        <w:tc>
          <w:tcPr>
            <w:tcW w:w="3260" w:type="dxa"/>
          </w:tcPr>
          <w:p w:rsidR="00BC58CE" w:rsidRPr="00C972BD" w:rsidRDefault="00BC58CE" w:rsidP="004E3EDF"/>
        </w:tc>
        <w:tc>
          <w:tcPr>
            <w:tcW w:w="7655" w:type="dxa"/>
          </w:tcPr>
          <w:p w:rsidR="00BC58CE" w:rsidRDefault="00BC58CE" w:rsidP="004E3EDF">
            <w:r w:rsidRPr="00BC58CE">
              <w:rPr>
                <w:rFonts w:hint="eastAsia"/>
              </w:rPr>
              <w:t>「「個人」・「環境」・「個人と環境を取り巻く関係性」の</w:t>
            </w:r>
            <w:r w:rsidRPr="00BC58CE">
              <w:rPr>
                <w:rFonts w:hint="eastAsia"/>
              </w:rPr>
              <w:t>3</w:t>
            </w:r>
            <w:r w:rsidRPr="00BC58CE">
              <w:rPr>
                <w:rFonts w:hint="eastAsia"/>
              </w:rPr>
              <w:t>つの視点からアセスメントすることが大事」になる。</w:t>
            </w:r>
          </w:p>
        </w:tc>
      </w:tr>
      <w:tr w:rsidR="00595B39" w:rsidTr="004E3EDF">
        <w:tc>
          <w:tcPr>
            <w:tcW w:w="851" w:type="dxa"/>
            <w:vMerge w:val="restart"/>
          </w:tcPr>
          <w:p w:rsidR="00595B39" w:rsidRDefault="00595B39" w:rsidP="004E3EDF">
            <w:pPr>
              <w:jc w:val="center"/>
            </w:pPr>
            <w:r>
              <w:rPr>
                <w:rFonts w:hint="eastAsia"/>
              </w:rPr>
              <w:t>P1</w:t>
            </w:r>
          </w:p>
          <w:p w:rsidR="00595B39" w:rsidRDefault="00595B39" w:rsidP="00034FE6">
            <w:pPr>
              <w:jc w:val="center"/>
            </w:pPr>
            <w:r>
              <w:rPr>
                <w:rFonts w:hint="eastAsia"/>
              </w:rPr>
              <w:lastRenderedPageBreak/>
              <w:t>右下</w:t>
            </w:r>
          </w:p>
        </w:tc>
        <w:tc>
          <w:tcPr>
            <w:tcW w:w="3118" w:type="dxa"/>
            <w:vMerge w:val="restart"/>
          </w:tcPr>
          <w:p w:rsidR="00595B39" w:rsidRDefault="00595B39" w:rsidP="00873013">
            <w:r>
              <w:rPr>
                <w:rFonts w:hint="eastAsia"/>
              </w:rPr>
              <w:lastRenderedPageBreak/>
              <w:t>環境に視野を広げて生活全体</w:t>
            </w:r>
            <w:r>
              <w:rPr>
                <w:rFonts w:hint="eastAsia"/>
              </w:rPr>
              <w:lastRenderedPageBreak/>
              <w:t>から考える</w:t>
            </w:r>
          </w:p>
        </w:tc>
        <w:tc>
          <w:tcPr>
            <w:tcW w:w="3260" w:type="dxa"/>
          </w:tcPr>
          <w:p w:rsidR="00595B39" w:rsidRPr="00C972BD" w:rsidRDefault="00894D14" w:rsidP="004E3EDF">
            <w:r>
              <w:rPr>
                <w:rFonts w:hint="eastAsia"/>
              </w:rPr>
              <w:lastRenderedPageBreak/>
              <w:t>はたらく場</w:t>
            </w:r>
          </w:p>
        </w:tc>
        <w:tc>
          <w:tcPr>
            <w:tcW w:w="7655" w:type="dxa"/>
          </w:tcPr>
          <w:p w:rsidR="00595B39" w:rsidRPr="00BC58CE" w:rsidRDefault="00894D14" w:rsidP="00894D14">
            <w:r>
              <w:rPr>
                <w:rFonts w:hint="eastAsia"/>
              </w:rPr>
              <w:t>活動をする場、社会参加をする場と言い換えてもいい。</w:t>
            </w:r>
          </w:p>
        </w:tc>
      </w:tr>
      <w:tr w:rsidR="00595B39" w:rsidTr="004E3EDF">
        <w:tc>
          <w:tcPr>
            <w:tcW w:w="851" w:type="dxa"/>
            <w:vMerge/>
          </w:tcPr>
          <w:p w:rsidR="00595B39" w:rsidRPr="00155881" w:rsidRDefault="00595B39" w:rsidP="004E3EDF">
            <w:pPr>
              <w:jc w:val="center"/>
            </w:pPr>
          </w:p>
        </w:tc>
        <w:tc>
          <w:tcPr>
            <w:tcW w:w="3118" w:type="dxa"/>
            <w:vMerge/>
          </w:tcPr>
          <w:p w:rsidR="00595B39" w:rsidRDefault="00595B39" w:rsidP="004E3EDF"/>
        </w:tc>
        <w:tc>
          <w:tcPr>
            <w:tcW w:w="3260" w:type="dxa"/>
          </w:tcPr>
          <w:p w:rsidR="00595B39" w:rsidRDefault="00595B39" w:rsidP="004E3EDF">
            <w:r>
              <w:rPr>
                <w:rFonts w:hint="eastAsia"/>
              </w:rPr>
              <w:t>その他社会資源</w:t>
            </w:r>
          </w:p>
        </w:tc>
        <w:tc>
          <w:tcPr>
            <w:tcW w:w="7655" w:type="dxa"/>
          </w:tcPr>
          <w:p w:rsidR="00894D14" w:rsidRDefault="00894D14" w:rsidP="004E3EDF">
            <w:r>
              <w:rPr>
                <w:rFonts w:hint="eastAsia"/>
              </w:rPr>
              <w:t>問題は社会資源にどうつながってい</w:t>
            </w:r>
            <w:r w:rsidR="00001F88">
              <w:rPr>
                <w:rFonts w:hint="eastAsia"/>
              </w:rPr>
              <w:t>る</w:t>
            </w:r>
            <w:r>
              <w:rPr>
                <w:rFonts w:hint="eastAsia"/>
              </w:rPr>
              <w:t>か。</w:t>
            </w:r>
          </w:p>
          <w:p w:rsidR="00595B39" w:rsidRDefault="00595B39" w:rsidP="004E3EDF">
            <w:r>
              <w:rPr>
                <w:rFonts w:hint="eastAsia"/>
              </w:rPr>
              <w:t>「「自立」とは、一人で自分ができるようになるということより、社会の資源をどう活用できるかということ。つまり、社会の資源に依存しながら私たちは生きている</w:t>
            </w:r>
            <w:r w:rsidR="00894D14">
              <w:rPr>
                <w:rFonts w:hint="eastAsia"/>
              </w:rPr>
              <w:t>が、この依存状況を社会資源とどれだけつなげていくか？というところが自立のポイントになる</w:t>
            </w:r>
            <w:r>
              <w:rPr>
                <w:rFonts w:hint="eastAsia"/>
              </w:rPr>
              <w:t>」</w:t>
            </w:r>
            <w:r w:rsidR="005F3518">
              <w:rPr>
                <w:rFonts w:hint="eastAsia"/>
              </w:rPr>
              <w:t>と思う。</w:t>
            </w:r>
          </w:p>
          <w:p w:rsidR="005F3518" w:rsidRDefault="005F3518" w:rsidP="004E3EDF">
            <w:r>
              <w:rPr>
                <w:rFonts w:hint="eastAsia"/>
              </w:rPr>
              <w:t>私たちはソーシャルワークをしているので「社会と個人を結びつけていくことが大事</w:t>
            </w:r>
            <w:r w:rsidR="00744DDB">
              <w:rPr>
                <w:rFonts w:hint="eastAsia"/>
              </w:rPr>
              <w:t>」。</w:t>
            </w:r>
          </w:p>
        </w:tc>
      </w:tr>
      <w:tr w:rsidR="00595B39" w:rsidTr="004E3EDF">
        <w:tc>
          <w:tcPr>
            <w:tcW w:w="851" w:type="dxa"/>
            <w:vMerge/>
          </w:tcPr>
          <w:p w:rsidR="00595B39" w:rsidRDefault="00595B39" w:rsidP="004E3EDF">
            <w:pPr>
              <w:jc w:val="center"/>
            </w:pPr>
          </w:p>
        </w:tc>
        <w:tc>
          <w:tcPr>
            <w:tcW w:w="3118" w:type="dxa"/>
            <w:vMerge/>
          </w:tcPr>
          <w:p w:rsidR="00595B39" w:rsidRPr="006826C2" w:rsidRDefault="00595B39" w:rsidP="004E3EDF"/>
        </w:tc>
        <w:tc>
          <w:tcPr>
            <w:tcW w:w="3260" w:type="dxa"/>
          </w:tcPr>
          <w:p w:rsidR="00595B39" w:rsidRDefault="00595B39" w:rsidP="004E3EDF"/>
        </w:tc>
        <w:tc>
          <w:tcPr>
            <w:tcW w:w="7655" w:type="dxa"/>
          </w:tcPr>
          <w:p w:rsidR="00744DDB" w:rsidRDefault="00FC558A" w:rsidP="004E3EDF">
            <w:r>
              <w:rPr>
                <w:rFonts w:hint="eastAsia"/>
              </w:rPr>
              <w:t>「本人を取り巻く生活のあり方を大きくとらえれば、社会関係や生活資源はどんどん広がっていく</w:t>
            </w:r>
            <w:r w:rsidR="00BB59D8">
              <w:rPr>
                <w:rFonts w:hint="eastAsia"/>
              </w:rPr>
              <w:t>が、単純に</w:t>
            </w:r>
            <w:r w:rsidR="00744DDB">
              <w:rPr>
                <w:rFonts w:hint="eastAsia"/>
              </w:rPr>
              <w:t>、</w:t>
            </w:r>
            <w:r w:rsidR="00BB59D8">
              <w:rPr>
                <w:rFonts w:hint="eastAsia"/>
              </w:rPr>
              <w:t>福祉施設の一つのクラスやグループだけで見ていれば、小さ</w:t>
            </w:r>
            <w:r w:rsidR="00001F88">
              <w:rPr>
                <w:rFonts w:hint="eastAsia"/>
              </w:rPr>
              <w:t>く</w:t>
            </w:r>
            <w:r w:rsidR="00BB59D8">
              <w:rPr>
                <w:rFonts w:hint="eastAsia"/>
              </w:rPr>
              <w:t>閉ざされた世界になりかねない」。</w:t>
            </w:r>
          </w:p>
          <w:p w:rsidR="00595B39" w:rsidRDefault="00BB59D8" w:rsidP="004E3EDF">
            <w:r>
              <w:rPr>
                <w:rFonts w:hint="eastAsia"/>
              </w:rPr>
              <w:t>「「本人と環境をどうとらえるか？」という視点を一回</w:t>
            </w:r>
            <w:r w:rsidR="00001F88">
              <w:rPr>
                <w:rFonts w:hint="eastAsia"/>
              </w:rPr>
              <w:t>とら</w:t>
            </w:r>
            <w:r>
              <w:rPr>
                <w:rFonts w:hint="eastAsia"/>
              </w:rPr>
              <w:t>えなおしていただきたい」と思う。</w:t>
            </w:r>
          </w:p>
          <w:p w:rsidR="00BB59D8" w:rsidRDefault="00BB59D8" w:rsidP="00744DDB">
            <w:r>
              <w:rPr>
                <w:rFonts w:hint="eastAsia"/>
              </w:rPr>
              <w:t>もう一つ</w:t>
            </w:r>
            <w:r w:rsidR="00744DDB">
              <w:rPr>
                <w:rFonts w:hint="eastAsia"/>
              </w:rPr>
              <w:t>大事なのは</w:t>
            </w:r>
            <w:r>
              <w:rPr>
                <w:rFonts w:hint="eastAsia"/>
              </w:rPr>
              <w:t>人生</w:t>
            </w:r>
            <w:r w:rsidR="00744DDB">
              <w:rPr>
                <w:rFonts w:hint="eastAsia"/>
              </w:rPr>
              <w:t>における視点</w:t>
            </w:r>
            <w:r>
              <w:rPr>
                <w:rFonts w:hint="eastAsia"/>
              </w:rPr>
              <w:t>で、「過去・現在・未来につながっていく人生の流れの中で、一人の人間を支援していくという視点も欠か</w:t>
            </w:r>
            <w:r w:rsidR="00183CE6">
              <w:rPr>
                <w:rFonts w:hint="eastAsia"/>
              </w:rPr>
              <w:t>せぬ視点」で、そういったこともアセスメントに入れていく必要があるかと思う。</w:t>
            </w:r>
          </w:p>
        </w:tc>
      </w:tr>
      <w:tr w:rsidR="00744DDB" w:rsidTr="004E3EDF">
        <w:tc>
          <w:tcPr>
            <w:tcW w:w="851" w:type="dxa"/>
          </w:tcPr>
          <w:p w:rsidR="00744DDB" w:rsidRDefault="00744DDB" w:rsidP="00744DDB">
            <w:pPr>
              <w:jc w:val="center"/>
            </w:pPr>
            <w:r>
              <w:t>P</w:t>
            </w:r>
            <w:r>
              <w:rPr>
                <w:rFonts w:hint="eastAsia"/>
              </w:rPr>
              <w:t>2</w:t>
            </w:r>
          </w:p>
          <w:p w:rsidR="00744DDB" w:rsidRDefault="00744DDB" w:rsidP="00744DDB">
            <w:pPr>
              <w:jc w:val="center"/>
            </w:pPr>
            <w:r>
              <w:rPr>
                <w:rFonts w:hint="eastAsia"/>
              </w:rPr>
              <w:t>左上</w:t>
            </w:r>
          </w:p>
        </w:tc>
        <w:tc>
          <w:tcPr>
            <w:tcW w:w="3118" w:type="dxa"/>
          </w:tcPr>
          <w:p w:rsidR="00744DDB" w:rsidRPr="006826C2" w:rsidRDefault="00744DDB" w:rsidP="004E3EDF">
            <w:r>
              <w:rPr>
                <w:rFonts w:hint="eastAsia"/>
              </w:rPr>
              <w:t>利用者のニーズや課題は人と環境の相互作用</w:t>
            </w:r>
          </w:p>
        </w:tc>
        <w:tc>
          <w:tcPr>
            <w:tcW w:w="3260" w:type="dxa"/>
          </w:tcPr>
          <w:p w:rsidR="00744DDB" w:rsidRDefault="00744DDB" w:rsidP="004E3EDF"/>
        </w:tc>
        <w:tc>
          <w:tcPr>
            <w:tcW w:w="7655" w:type="dxa"/>
          </w:tcPr>
          <w:p w:rsidR="00744DDB" w:rsidRDefault="00EE6B76" w:rsidP="004E3EDF">
            <w:r>
              <w:rPr>
                <w:rFonts w:hint="eastAsia"/>
              </w:rPr>
              <w:t>医療モデルから生活モデルへ、というのが今の障がい福祉の大きな流れである。</w:t>
            </w:r>
          </w:p>
          <w:p w:rsidR="00C1568A" w:rsidRDefault="00C1568A" w:rsidP="004E3EDF">
            <w:r>
              <w:rPr>
                <w:rFonts w:hint="eastAsia"/>
              </w:rPr>
              <w:t>環境因子と個人因子が、心身・身体機能、活動、参加という機能の中で、実際に相互作用として動いていく。</w:t>
            </w:r>
          </w:p>
          <w:p w:rsidR="00C1568A" w:rsidRDefault="00C1568A" w:rsidP="004E3EDF">
            <w:r>
              <w:rPr>
                <w:rFonts w:hint="eastAsia"/>
              </w:rPr>
              <w:t>この環境の要因の中で、私たちは生きているし、活動のレベル、社会</w:t>
            </w:r>
            <w:r w:rsidR="00D7200D">
              <w:rPr>
                <w:rFonts w:hint="eastAsia"/>
              </w:rPr>
              <w:t>（活動）</w:t>
            </w:r>
            <w:r>
              <w:rPr>
                <w:rFonts w:hint="eastAsia"/>
              </w:rPr>
              <w:t>のレベルといったものが個人の自立を支えている</w:t>
            </w:r>
            <w:r w:rsidR="00E23709">
              <w:rPr>
                <w:rFonts w:hint="eastAsia"/>
              </w:rPr>
              <w:t>、ということも含めて、全体的に見ていく</w:t>
            </w:r>
            <w:r w:rsidR="00D7200D">
              <w:rPr>
                <w:rFonts w:hint="eastAsia"/>
              </w:rPr>
              <w:t>ことがとても大事だと思う</w:t>
            </w:r>
            <w:r>
              <w:rPr>
                <w:rFonts w:hint="eastAsia"/>
              </w:rPr>
              <w:t>。</w:t>
            </w:r>
          </w:p>
        </w:tc>
      </w:tr>
      <w:tr w:rsidR="00535172" w:rsidTr="004E3EDF">
        <w:tc>
          <w:tcPr>
            <w:tcW w:w="851" w:type="dxa"/>
            <w:vMerge w:val="restart"/>
          </w:tcPr>
          <w:p w:rsidR="00535172" w:rsidRDefault="00535172" w:rsidP="00D7200D">
            <w:pPr>
              <w:jc w:val="center"/>
            </w:pPr>
            <w:r>
              <w:t>P2</w:t>
            </w:r>
          </w:p>
          <w:p w:rsidR="00535172" w:rsidRDefault="00535172" w:rsidP="00535172">
            <w:pPr>
              <w:jc w:val="center"/>
            </w:pPr>
            <w:r>
              <w:rPr>
                <w:rFonts w:hint="eastAsia"/>
              </w:rPr>
              <w:t>右上</w:t>
            </w:r>
          </w:p>
        </w:tc>
        <w:tc>
          <w:tcPr>
            <w:tcW w:w="3118" w:type="dxa"/>
            <w:vMerge w:val="restart"/>
          </w:tcPr>
          <w:p w:rsidR="00535172" w:rsidRDefault="00535172" w:rsidP="00760585">
            <w:r>
              <w:rPr>
                <w:rFonts w:hint="eastAsia"/>
              </w:rPr>
              <w:t>ICF</w:t>
            </w:r>
            <w:r>
              <w:rPr>
                <w:rFonts w:hint="eastAsia"/>
              </w:rPr>
              <w:t>を活用した利用者把握</w:t>
            </w:r>
          </w:p>
        </w:tc>
        <w:tc>
          <w:tcPr>
            <w:tcW w:w="3260" w:type="dxa"/>
          </w:tcPr>
          <w:p w:rsidR="00535172" w:rsidRDefault="00535172" w:rsidP="004E3EDF"/>
        </w:tc>
        <w:tc>
          <w:tcPr>
            <w:tcW w:w="7655" w:type="dxa"/>
          </w:tcPr>
          <w:p w:rsidR="00535172" w:rsidRDefault="00535172" w:rsidP="00D3094B">
            <w:r>
              <w:rPr>
                <w:rFonts w:hint="eastAsia"/>
              </w:rPr>
              <w:t>私たちの個人の抱えている背景要因として、環境と個人の因子がある。</w:t>
            </w:r>
          </w:p>
        </w:tc>
      </w:tr>
      <w:tr w:rsidR="00535172" w:rsidTr="004E3EDF">
        <w:tc>
          <w:tcPr>
            <w:tcW w:w="851" w:type="dxa"/>
            <w:vMerge/>
          </w:tcPr>
          <w:p w:rsidR="00535172" w:rsidRDefault="00535172" w:rsidP="00F46317">
            <w:pPr>
              <w:jc w:val="center"/>
            </w:pPr>
          </w:p>
        </w:tc>
        <w:tc>
          <w:tcPr>
            <w:tcW w:w="3118" w:type="dxa"/>
            <w:vMerge/>
          </w:tcPr>
          <w:p w:rsidR="00535172" w:rsidRDefault="00535172" w:rsidP="00760585"/>
        </w:tc>
        <w:tc>
          <w:tcPr>
            <w:tcW w:w="3260" w:type="dxa"/>
          </w:tcPr>
          <w:p w:rsidR="00535172" w:rsidRDefault="00535172" w:rsidP="004E3EDF">
            <w:r>
              <w:rPr>
                <w:rFonts w:hint="eastAsia"/>
              </w:rPr>
              <w:t>環境因子</w:t>
            </w:r>
          </w:p>
        </w:tc>
        <w:tc>
          <w:tcPr>
            <w:tcW w:w="7655" w:type="dxa"/>
          </w:tcPr>
          <w:p w:rsidR="00535172" w:rsidRDefault="00535172" w:rsidP="00D3094B">
            <w:r>
              <w:rPr>
                <w:rFonts w:hint="eastAsia"/>
              </w:rPr>
              <w:t>態度的環境とは、文化や風習やその地域における人々の行動様式のようなもの。</w:t>
            </w:r>
          </w:p>
        </w:tc>
      </w:tr>
      <w:tr w:rsidR="00535172" w:rsidTr="004E3EDF">
        <w:tc>
          <w:tcPr>
            <w:tcW w:w="851" w:type="dxa"/>
            <w:vMerge/>
          </w:tcPr>
          <w:p w:rsidR="00535172" w:rsidRDefault="00535172" w:rsidP="00F46317">
            <w:pPr>
              <w:jc w:val="center"/>
            </w:pPr>
          </w:p>
        </w:tc>
        <w:tc>
          <w:tcPr>
            <w:tcW w:w="3118" w:type="dxa"/>
            <w:vMerge/>
          </w:tcPr>
          <w:p w:rsidR="00535172" w:rsidRDefault="00535172" w:rsidP="00760585"/>
        </w:tc>
        <w:tc>
          <w:tcPr>
            <w:tcW w:w="3260" w:type="dxa"/>
          </w:tcPr>
          <w:p w:rsidR="00535172" w:rsidRDefault="00535172" w:rsidP="004E3EDF">
            <w:r>
              <w:rPr>
                <w:rFonts w:hint="eastAsia"/>
              </w:rPr>
              <w:t>個人因子</w:t>
            </w:r>
          </w:p>
        </w:tc>
        <w:tc>
          <w:tcPr>
            <w:tcW w:w="7655" w:type="dxa"/>
          </w:tcPr>
          <w:p w:rsidR="00535172" w:rsidRDefault="00535172" w:rsidP="00D3094B">
            <w:r>
              <w:rPr>
                <w:rFonts w:hint="eastAsia"/>
              </w:rPr>
              <w:t>個人の信条も個人因子に入る。</w:t>
            </w:r>
          </w:p>
        </w:tc>
      </w:tr>
      <w:tr w:rsidR="00535172" w:rsidTr="004E3EDF">
        <w:tc>
          <w:tcPr>
            <w:tcW w:w="851" w:type="dxa"/>
            <w:vMerge/>
          </w:tcPr>
          <w:p w:rsidR="00535172" w:rsidRDefault="00535172" w:rsidP="00535172">
            <w:pPr>
              <w:jc w:val="center"/>
            </w:pPr>
          </w:p>
        </w:tc>
        <w:tc>
          <w:tcPr>
            <w:tcW w:w="3118" w:type="dxa"/>
            <w:vMerge/>
          </w:tcPr>
          <w:p w:rsidR="00535172" w:rsidRDefault="00535172" w:rsidP="004E3EDF"/>
        </w:tc>
        <w:tc>
          <w:tcPr>
            <w:tcW w:w="3260" w:type="dxa"/>
          </w:tcPr>
          <w:p w:rsidR="00535172" w:rsidRDefault="00535172" w:rsidP="004E3EDF"/>
        </w:tc>
        <w:tc>
          <w:tcPr>
            <w:tcW w:w="7655" w:type="dxa"/>
          </w:tcPr>
          <w:p w:rsidR="00535172" w:rsidRDefault="00535172" w:rsidP="00131530">
            <w:r>
              <w:rPr>
                <w:rFonts w:hint="eastAsia"/>
              </w:rPr>
              <w:t>環境因子や個人因子が背景にあり、私たちは個人の状況を考えるが、その上に</w:t>
            </w:r>
            <w:r>
              <w:rPr>
                <w:rFonts w:hint="eastAsia"/>
              </w:rPr>
              <w:lastRenderedPageBreak/>
              <w:t>健康状態がある。</w:t>
            </w:r>
          </w:p>
        </w:tc>
      </w:tr>
      <w:tr w:rsidR="00535172" w:rsidTr="004E3EDF">
        <w:tc>
          <w:tcPr>
            <w:tcW w:w="851" w:type="dxa"/>
            <w:vMerge/>
          </w:tcPr>
          <w:p w:rsidR="00535172" w:rsidRDefault="00535172" w:rsidP="00D7200D">
            <w:pPr>
              <w:jc w:val="center"/>
            </w:pPr>
          </w:p>
        </w:tc>
        <w:tc>
          <w:tcPr>
            <w:tcW w:w="3118" w:type="dxa"/>
            <w:vMerge/>
          </w:tcPr>
          <w:p w:rsidR="00535172" w:rsidRDefault="00535172" w:rsidP="004E3EDF"/>
        </w:tc>
        <w:tc>
          <w:tcPr>
            <w:tcW w:w="3260" w:type="dxa"/>
          </w:tcPr>
          <w:p w:rsidR="00535172" w:rsidRDefault="00535172" w:rsidP="004E3EDF">
            <w:r>
              <w:rPr>
                <w:rFonts w:hint="eastAsia"/>
              </w:rPr>
              <w:t>機能・構造障がい</w:t>
            </w:r>
          </w:p>
        </w:tc>
        <w:tc>
          <w:tcPr>
            <w:tcW w:w="7655" w:type="dxa"/>
          </w:tcPr>
          <w:p w:rsidR="00535172" w:rsidRDefault="00535172" w:rsidP="00131530">
            <w:r>
              <w:rPr>
                <w:rFonts w:hint="eastAsia"/>
              </w:rPr>
              <w:t>ハンディキャップを補っていくことを視野に入れる。リハビリの分野でもある。</w:t>
            </w:r>
          </w:p>
        </w:tc>
      </w:tr>
      <w:tr w:rsidR="00535172" w:rsidTr="004E3EDF">
        <w:tc>
          <w:tcPr>
            <w:tcW w:w="851" w:type="dxa"/>
            <w:vMerge/>
          </w:tcPr>
          <w:p w:rsidR="00535172" w:rsidRDefault="00535172" w:rsidP="00D7200D">
            <w:pPr>
              <w:jc w:val="center"/>
            </w:pPr>
          </w:p>
        </w:tc>
        <w:tc>
          <w:tcPr>
            <w:tcW w:w="3118" w:type="dxa"/>
            <w:vMerge/>
          </w:tcPr>
          <w:p w:rsidR="00535172" w:rsidRDefault="00535172" w:rsidP="004E3EDF"/>
        </w:tc>
        <w:tc>
          <w:tcPr>
            <w:tcW w:w="3260" w:type="dxa"/>
          </w:tcPr>
          <w:p w:rsidR="00535172" w:rsidRDefault="00535172" w:rsidP="004E3EDF">
            <w:r>
              <w:rPr>
                <w:rFonts w:hint="eastAsia"/>
              </w:rPr>
              <w:t>活動制限</w:t>
            </w:r>
          </w:p>
        </w:tc>
        <w:tc>
          <w:tcPr>
            <w:tcW w:w="7655" w:type="dxa"/>
          </w:tcPr>
          <w:p w:rsidR="00535172" w:rsidRDefault="00535172" w:rsidP="004733F4">
            <w:r>
              <w:rPr>
                <w:rFonts w:hint="eastAsia"/>
              </w:rPr>
              <w:t>私たちはそこ（</w:t>
            </w:r>
            <w:r w:rsidRPr="00131530">
              <w:rPr>
                <w:rFonts w:hint="eastAsia"/>
              </w:rPr>
              <w:t>機能・構造障がい</w:t>
            </w:r>
            <w:r>
              <w:rPr>
                <w:rFonts w:hint="eastAsia"/>
              </w:rPr>
              <w:t>）だけを見るのではなく、ハンディキャップや疾病を持ちながら、生活者として行動している。しかし、様々な要因がその生活の活動の幅を狭めていたり、本人が望むような生活ができなかったりしている。それが活動制限。</w:t>
            </w:r>
          </w:p>
        </w:tc>
      </w:tr>
      <w:tr w:rsidR="00535172" w:rsidTr="004E3EDF">
        <w:tc>
          <w:tcPr>
            <w:tcW w:w="851" w:type="dxa"/>
            <w:vMerge/>
          </w:tcPr>
          <w:p w:rsidR="00535172" w:rsidRDefault="00535172" w:rsidP="00D7200D">
            <w:pPr>
              <w:jc w:val="center"/>
            </w:pPr>
          </w:p>
        </w:tc>
        <w:tc>
          <w:tcPr>
            <w:tcW w:w="3118" w:type="dxa"/>
            <w:vMerge/>
          </w:tcPr>
          <w:p w:rsidR="00535172" w:rsidRDefault="00535172" w:rsidP="004E3EDF"/>
        </w:tc>
        <w:tc>
          <w:tcPr>
            <w:tcW w:w="3260" w:type="dxa"/>
          </w:tcPr>
          <w:p w:rsidR="00535172" w:rsidRDefault="00535172" w:rsidP="004E3EDF">
            <w:r>
              <w:rPr>
                <w:rFonts w:hint="eastAsia"/>
              </w:rPr>
              <w:t>参加制約</w:t>
            </w:r>
          </w:p>
        </w:tc>
        <w:tc>
          <w:tcPr>
            <w:tcW w:w="7655" w:type="dxa"/>
          </w:tcPr>
          <w:p w:rsidR="00535172" w:rsidRDefault="00535172" w:rsidP="00131530">
            <w:r>
              <w:rPr>
                <w:rFonts w:hint="eastAsia"/>
              </w:rPr>
              <w:t>もう一つ考えなくてはいけないのは、その生活は、社会参加などの、地域や社会での位置づけがある。</w:t>
            </w:r>
          </w:p>
          <w:p w:rsidR="00535172" w:rsidRDefault="00535172" w:rsidP="00131530">
            <w:r>
              <w:rPr>
                <w:rFonts w:hint="eastAsia"/>
              </w:rPr>
              <w:t>「「エンパワーメント」という言葉があるが、その人が自己を発揮して自分らしさを取り戻すことについては、社会参加まで含めて考えないと難しい」。</w:t>
            </w:r>
          </w:p>
          <w:p w:rsidR="00535172" w:rsidRDefault="00535172" w:rsidP="009F74F1">
            <w:r>
              <w:rPr>
                <w:rFonts w:hint="eastAsia"/>
              </w:rPr>
              <w:t>そして、その「役割などが本人の主体性を生み出し、一個人の自立・尊厳につながる」。</w:t>
            </w:r>
          </w:p>
        </w:tc>
      </w:tr>
      <w:tr w:rsidR="00535172" w:rsidTr="004E3EDF">
        <w:tc>
          <w:tcPr>
            <w:tcW w:w="851" w:type="dxa"/>
            <w:vMerge/>
          </w:tcPr>
          <w:p w:rsidR="00535172" w:rsidRDefault="00535172" w:rsidP="00D7200D">
            <w:pPr>
              <w:jc w:val="center"/>
            </w:pPr>
          </w:p>
        </w:tc>
        <w:tc>
          <w:tcPr>
            <w:tcW w:w="3118" w:type="dxa"/>
            <w:vMerge/>
          </w:tcPr>
          <w:p w:rsidR="00535172" w:rsidRDefault="00535172" w:rsidP="004E3EDF"/>
        </w:tc>
        <w:tc>
          <w:tcPr>
            <w:tcW w:w="3260" w:type="dxa"/>
          </w:tcPr>
          <w:p w:rsidR="00535172" w:rsidRDefault="00535172" w:rsidP="004E3EDF"/>
        </w:tc>
        <w:tc>
          <w:tcPr>
            <w:tcW w:w="7655" w:type="dxa"/>
          </w:tcPr>
          <w:p w:rsidR="00535172" w:rsidRDefault="00535172" w:rsidP="006C3D9E">
            <w:r>
              <w:rPr>
                <w:rFonts w:hint="eastAsia"/>
              </w:rPr>
              <w:t>このように相互の活動の末に、本人の望む暮らしがある。</w:t>
            </w:r>
            <w:r>
              <w:rPr>
                <w:rFonts w:hint="eastAsia"/>
              </w:rPr>
              <w:t>ICF</w:t>
            </w:r>
            <w:r>
              <w:rPr>
                <w:rFonts w:hint="eastAsia"/>
              </w:rPr>
              <w:t>の考え方をぜひアセスメントの中でも取り入れていただきたいと思う。</w:t>
            </w:r>
          </w:p>
          <w:p w:rsidR="00535172" w:rsidRDefault="00535172" w:rsidP="006C3D9E">
            <w:r>
              <w:rPr>
                <w:rFonts w:hint="eastAsia"/>
              </w:rPr>
              <w:t>特に、「現在できていること・できること、このストレングスの視点をきちんととらえて、何をアセスメントするか？というと、その人の可能性をアセスメントする。その可能性を未来に投げて、私たちはそこに向かって一緒に共に寄り添いながら支援を展開していく」ということになる。</w:t>
            </w:r>
          </w:p>
          <w:p w:rsidR="00535172" w:rsidRDefault="00535172" w:rsidP="006C3D9E">
            <w:r>
              <w:rPr>
                <w:rFonts w:hint="eastAsia"/>
              </w:rPr>
              <w:t>その意味で、本人の望む暮らしは決してできないものではなく、何によって疎外されているのか、何によって制限されているのか、環境因子や個人因子、そして機能・構造障がい、疾病の状況などを踏まえながら、社会を変えてくことや、その生活の環境を変えていくこと、こういうことも視野も入れられるアセスメントではないと、その人の意思決定支援や自己実現にはつながっていかないと思う。</w:t>
            </w:r>
          </w:p>
          <w:p w:rsidR="00535172" w:rsidRDefault="00535172" w:rsidP="006C3D9E">
            <w:r>
              <w:rPr>
                <w:rFonts w:hint="eastAsia"/>
              </w:rPr>
              <w:t>そう考えていくと、私たちは、「個人に目を向けるのではなく、個人と社会、個</w:t>
            </w:r>
            <w:r>
              <w:rPr>
                <w:rFonts w:hint="eastAsia"/>
              </w:rPr>
              <w:lastRenderedPageBreak/>
              <w:t>人と人とを含めた環境の中で、その人がその場面で活動していることを側面から支援してくことがとても重要」であることがわかってくる。</w:t>
            </w:r>
          </w:p>
        </w:tc>
      </w:tr>
      <w:tr w:rsidR="004733F4" w:rsidTr="004E3EDF">
        <w:tc>
          <w:tcPr>
            <w:tcW w:w="851" w:type="dxa"/>
          </w:tcPr>
          <w:p w:rsidR="006C3D9E" w:rsidRDefault="006C3D9E" w:rsidP="006C3D9E">
            <w:pPr>
              <w:jc w:val="center"/>
            </w:pPr>
            <w:r>
              <w:lastRenderedPageBreak/>
              <w:t>P2</w:t>
            </w:r>
          </w:p>
          <w:p w:rsidR="004733F4" w:rsidRDefault="006C3D9E" w:rsidP="006C3D9E">
            <w:pPr>
              <w:jc w:val="center"/>
            </w:pPr>
            <w:r>
              <w:rPr>
                <w:rFonts w:hint="eastAsia"/>
              </w:rPr>
              <w:t>左下</w:t>
            </w:r>
          </w:p>
        </w:tc>
        <w:tc>
          <w:tcPr>
            <w:tcW w:w="3118" w:type="dxa"/>
          </w:tcPr>
          <w:p w:rsidR="004733F4" w:rsidRDefault="006C3D9E" w:rsidP="004E3EDF">
            <w:r>
              <w:rPr>
                <w:rFonts w:hint="eastAsia"/>
              </w:rPr>
              <w:t>締めの一言</w:t>
            </w:r>
          </w:p>
        </w:tc>
        <w:tc>
          <w:tcPr>
            <w:tcW w:w="3260" w:type="dxa"/>
          </w:tcPr>
          <w:p w:rsidR="004733F4" w:rsidRDefault="00B0186D" w:rsidP="004E3EDF">
            <w:r>
              <w:rPr>
                <w:rFonts w:hint="eastAsia"/>
              </w:rPr>
              <w:t>●できないことではなく、できていること、できることに着目して、できることの範囲を広める</w:t>
            </w:r>
          </w:p>
        </w:tc>
        <w:tc>
          <w:tcPr>
            <w:tcW w:w="7655" w:type="dxa"/>
          </w:tcPr>
          <w:p w:rsidR="002130CE" w:rsidRDefault="00535172" w:rsidP="009F74F1">
            <w:r>
              <w:rPr>
                <w:rFonts w:hint="eastAsia"/>
              </w:rPr>
              <w:t>範囲を</w:t>
            </w:r>
            <w:r w:rsidR="006C3D9E">
              <w:rPr>
                <w:rFonts w:hint="eastAsia"/>
              </w:rPr>
              <w:t>「広げれ</w:t>
            </w:r>
            <w:r w:rsidR="00B0186D">
              <w:rPr>
                <w:rFonts w:hint="eastAsia"/>
              </w:rPr>
              <w:t>ば</w:t>
            </w:r>
            <w:r w:rsidR="006C3D9E">
              <w:rPr>
                <w:rFonts w:hint="eastAsia"/>
              </w:rPr>
              <w:t>広げるほど、生活に対するアセスメントは</w:t>
            </w:r>
            <w:r>
              <w:rPr>
                <w:rFonts w:hint="eastAsia"/>
              </w:rPr>
              <w:t>、</w:t>
            </w:r>
            <w:r w:rsidR="006C3D9E">
              <w:rPr>
                <w:rFonts w:hint="eastAsia"/>
              </w:rPr>
              <w:t>支援者を中心に、その個人を中心に拡大していくはずのもの</w:t>
            </w:r>
            <w:r w:rsidR="00B0186D">
              <w:rPr>
                <w:rFonts w:hint="eastAsia"/>
              </w:rPr>
              <w:t>」である。</w:t>
            </w:r>
          </w:p>
        </w:tc>
      </w:tr>
    </w:tbl>
    <w:p w:rsidR="00FE128D" w:rsidRPr="00151FF7" w:rsidRDefault="00FE128D"/>
    <w:sectPr w:rsidR="00FE128D" w:rsidRPr="00151FF7" w:rsidSect="00F325B7">
      <w:headerReference w:type="default" r:id="rId9"/>
      <w:footerReference w:type="default" r:id="rId1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47" w:rsidRDefault="006A5347" w:rsidP="00F325B7">
      <w:r>
        <w:separator/>
      </w:r>
    </w:p>
  </w:endnote>
  <w:endnote w:type="continuationSeparator" w:id="0">
    <w:p w:rsidR="006A5347" w:rsidRDefault="006A5347" w:rsidP="00F3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64204"/>
      <w:docPartObj>
        <w:docPartGallery w:val="Page Numbers (Bottom of Page)"/>
        <w:docPartUnique/>
      </w:docPartObj>
    </w:sdtPr>
    <w:sdtEndPr/>
    <w:sdtContent>
      <w:p w:rsidR="00DF2576" w:rsidRDefault="00DF2576">
        <w:pPr>
          <w:pStyle w:val="a6"/>
          <w:jc w:val="center"/>
        </w:pPr>
        <w:r>
          <w:fldChar w:fldCharType="begin"/>
        </w:r>
        <w:r>
          <w:instrText>PAGE   \* MERGEFORMAT</w:instrText>
        </w:r>
        <w:r>
          <w:fldChar w:fldCharType="separate"/>
        </w:r>
        <w:r w:rsidR="00001F88" w:rsidRPr="00001F88">
          <w:rPr>
            <w:noProof/>
            <w:lang w:val="ja-JP"/>
          </w:rPr>
          <w:t>1</w:t>
        </w:r>
        <w:r>
          <w:fldChar w:fldCharType="end"/>
        </w:r>
      </w:p>
    </w:sdtContent>
  </w:sdt>
  <w:p w:rsidR="00DF2576" w:rsidRDefault="00DF25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47" w:rsidRDefault="006A5347" w:rsidP="00F325B7">
      <w:r>
        <w:separator/>
      </w:r>
    </w:p>
  </w:footnote>
  <w:footnote w:type="continuationSeparator" w:id="0">
    <w:p w:rsidR="006A5347" w:rsidRDefault="006A5347" w:rsidP="00F3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81" w:rsidRDefault="00155881">
    <w:pPr>
      <w:pStyle w:val="a4"/>
    </w:pPr>
    <w:r>
      <w:ptab w:relativeTo="margin" w:alignment="center" w:leader="none"/>
    </w:r>
    <w:r>
      <w:ptab w:relativeTo="margin" w:alignment="right" w:leader="none"/>
    </w:r>
    <w:r w:rsidRPr="00155881">
      <w:rPr>
        <w:rFonts w:hint="eastAsia"/>
        <w:sz w:val="16"/>
        <w:szCs w:val="16"/>
      </w:rPr>
      <w:t>サポーターズ・カレッジ　動画テロップ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B59E1"/>
    <w:multiLevelType w:val="hybridMultilevel"/>
    <w:tmpl w:val="5CAA4DC2"/>
    <w:lvl w:ilvl="0" w:tplc="25C2C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8"/>
    <w:rsid w:val="000010B4"/>
    <w:rsid w:val="00001F88"/>
    <w:rsid w:val="000318E3"/>
    <w:rsid w:val="00052B34"/>
    <w:rsid w:val="000649AA"/>
    <w:rsid w:val="00080FBE"/>
    <w:rsid w:val="000913DA"/>
    <w:rsid w:val="00097356"/>
    <w:rsid w:val="000A0573"/>
    <w:rsid w:val="000B0449"/>
    <w:rsid w:val="000B4D55"/>
    <w:rsid w:val="000D4668"/>
    <w:rsid w:val="000D5E34"/>
    <w:rsid w:val="000F0758"/>
    <w:rsid w:val="000F7BC8"/>
    <w:rsid w:val="00131530"/>
    <w:rsid w:val="0015163F"/>
    <w:rsid w:val="00151FF7"/>
    <w:rsid w:val="00155881"/>
    <w:rsid w:val="00175673"/>
    <w:rsid w:val="00183CE6"/>
    <w:rsid w:val="00184FE7"/>
    <w:rsid w:val="001A05ED"/>
    <w:rsid w:val="001F10BF"/>
    <w:rsid w:val="001F41F7"/>
    <w:rsid w:val="001F5673"/>
    <w:rsid w:val="001F77A2"/>
    <w:rsid w:val="00201AE8"/>
    <w:rsid w:val="002128F3"/>
    <w:rsid w:val="002130CE"/>
    <w:rsid w:val="00267476"/>
    <w:rsid w:val="002716AC"/>
    <w:rsid w:val="00272494"/>
    <w:rsid w:val="00281E5D"/>
    <w:rsid w:val="00286B2B"/>
    <w:rsid w:val="002A4CD7"/>
    <w:rsid w:val="002A4D0C"/>
    <w:rsid w:val="002A5A79"/>
    <w:rsid w:val="002B6B95"/>
    <w:rsid w:val="002D7794"/>
    <w:rsid w:val="003172CF"/>
    <w:rsid w:val="00333F9E"/>
    <w:rsid w:val="00342FCF"/>
    <w:rsid w:val="003615FD"/>
    <w:rsid w:val="00365790"/>
    <w:rsid w:val="00365A11"/>
    <w:rsid w:val="00375B8D"/>
    <w:rsid w:val="00387255"/>
    <w:rsid w:val="003A5648"/>
    <w:rsid w:val="003B7533"/>
    <w:rsid w:val="003C5268"/>
    <w:rsid w:val="003E2687"/>
    <w:rsid w:val="003F7BD7"/>
    <w:rsid w:val="004320EE"/>
    <w:rsid w:val="00454E99"/>
    <w:rsid w:val="00464A84"/>
    <w:rsid w:val="004733F4"/>
    <w:rsid w:val="0048189D"/>
    <w:rsid w:val="0048300D"/>
    <w:rsid w:val="00483909"/>
    <w:rsid w:val="00485F6B"/>
    <w:rsid w:val="0049331B"/>
    <w:rsid w:val="004C1C4E"/>
    <w:rsid w:val="004D0398"/>
    <w:rsid w:val="004D68DB"/>
    <w:rsid w:val="004E3EDF"/>
    <w:rsid w:val="004F5558"/>
    <w:rsid w:val="004F766F"/>
    <w:rsid w:val="005018D7"/>
    <w:rsid w:val="00535172"/>
    <w:rsid w:val="00545360"/>
    <w:rsid w:val="00572693"/>
    <w:rsid w:val="00572896"/>
    <w:rsid w:val="00587ADB"/>
    <w:rsid w:val="00595B39"/>
    <w:rsid w:val="005A5126"/>
    <w:rsid w:val="005B5AB5"/>
    <w:rsid w:val="005C3AB4"/>
    <w:rsid w:val="005E0645"/>
    <w:rsid w:val="005E265B"/>
    <w:rsid w:val="005F3518"/>
    <w:rsid w:val="00600EF0"/>
    <w:rsid w:val="00625A2F"/>
    <w:rsid w:val="006373DC"/>
    <w:rsid w:val="00655FD7"/>
    <w:rsid w:val="00664E5B"/>
    <w:rsid w:val="00667450"/>
    <w:rsid w:val="00667ACB"/>
    <w:rsid w:val="0067095A"/>
    <w:rsid w:val="006826C2"/>
    <w:rsid w:val="006849DF"/>
    <w:rsid w:val="00685D64"/>
    <w:rsid w:val="006920B8"/>
    <w:rsid w:val="006A0750"/>
    <w:rsid w:val="006A5347"/>
    <w:rsid w:val="006A59F1"/>
    <w:rsid w:val="006C03F8"/>
    <w:rsid w:val="006C3D9E"/>
    <w:rsid w:val="00717FFA"/>
    <w:rsid w:val="007375B2"/>
    <w:rsid w:val="00742EDB"/>
    <w:rsid w:val="00744DDB"/>
    <w:rsid w:val="00745B28"/>
    <w:rsid w:val="0075188F"/>
    <w:rsid w:val="007614FA"/>
    <w:rsid w:val="007805F0"/>
    <w:rsid w:val="00781000"/>
    <w:rsid w:val="00786681"/>
    <w:rsid w:val="0078697E"/>
    <w:rsid w:val="007C27AA"/>
    <w:rsid w:val="007C3E56"/>
    <w:rsid w:val="007C68BF"/>
    <w:rsid w:val="007D1717"/>
    <w:rsid w:val="007E66EB"/>
    <w:rsid w:val="007F37FC"/>
    <w:rsid w:val="007F7408"/>
    <w:rsid w:val="00802A48"/>
    <w:rsid w:val="0083281B"/>
    <w:rsid w:val="00872067"/>
    <w:rsid w:val="00873DAA"/>
    <w:rsid w:val="00894D14"/>
    <w:rsid w:val="00897006"/>
    <w:rsid w:val="008A37A5"/>
    <w:rsid w:val="008A6BFB"/>
    <w:rsid w:val="008B4B96"/>
    <w:rsid w:val="008B4CBF"/>
    <w:rsid w:val="008C0379"/>
    <w:rsid w:val="008D0CB8"/>
    <w:rsid w:val="008D440D"/>
    <w:rsid w:val="008E3E2E"/>
    <w:rsid w:val="00912319"/>
    <w:rsid w:val="00931A89"/>
    <w:rsid w:val="00931C52"/>
    <w:rsid w:val="009433FB"/>
    <w:rsid w:val="00964D54"/>
    <w:rsid w:val="00990A01"/>
    <w:rsid w:val="00993BB2"/>
    <w:rsid w:val="0099517A"/>
    <w:rsid w:val="009C47E3"/>
    <w:rsid w:val="009F3278"/>
    <w:rsid w:val="009F74F1"/>
    <w:rsid w:val="00A059B3"/>
    <w:rsid w:val="00A2246A"/>
    <w:rsid w:val="00A33C62"/>
    <w:rsid w:val="00A52C8B"/>
    <w:rsid w:val="00A86472"/>
    <w:rsid w:val="00AA3EAE"/>
    <w:rsid w:val="00AA4A4D"/>
    <w:rsid w:val="00AA539F"/>
    <w:rsid w:val="00AA553D"/>
    <w:rsid w:val="00AC0759"/>
    <w:rsid w:val="00AE1CBC"/>
    <w:rsid w:val="00AF24A6"/>
    <w:rsid w:val="00B0186D"/>
    <w:rsid w:val="00B1732B"/>
    <w:rsid w:val="00B70562"/>
    <w:rsid w:val="00B72400"/>
    <w:rsid w:val="00B87433"/>
    <w:rsid w:val="00B9482E"/>
    <w:rsid w:val="00B97794"/>
    <w:rsid w:val="00BB59D8"/>
    <w:rsid w:val="00BC58CE"/>
    <w:rsid w:val="00BE1491"/>
    <w:rsid w:val="00BF18BD"/>
    <w:rsid w:val="00C00F03"/>
    <w:rsid w:val="00C1568A"/>
    <w:rsid w:val="00C23BA1"/>
    <w:rsid w:val="00C40C72"/>
    <w:rsid w:val="00C53CD8"/>
    <w:rsid w:val="00C6795C"/>
    <w:rsid w:val="00C75C60"/>
    <w:rsid w:val="00C972BD"/>
    <w:rsid w:val="00CB0965"/>
    <w:rsid w:val="00CB5DCD"/>
    <w:rsid w:val="00CE58C7"/>
    <w:rsid w:val="00D061D0"/>
    <w:rsid w:val="00D11F44"/>
    <w:rsid w:val="00D12EF5"/>
    <w:rsid w:val="00D308F9"/>
    <w:rsid w:val="00D3094B"/>
    <w:rsid w:val="00D32D20"/>
    <w:rsid w:val="00D3742E"/>
    <w:rsid w:val="00D43A26"/>
    <w:rsid w:val="00D54080"/>
    <w:rsid w:val="00D7200D"/>
    <w:rsid w:val="00DD0ECD"/>
    <w:rsid w:val="00DD4A63"/>
    <w:rsid w:val="00DE34DF"/>
    <w:rsid w:val="00DF2576"/>
    <w:rsid w:val="00E12DDE"/>
    <w:rsid w:val="00E23709"/>
    <w:rsid w:val="00E344E0"/>
    <w:rsid w:val="00E3510D"/>
    <w:rsid w:val="00E41EAC"/>
    <w:rsid w:val="00E54498"/>
    <w:rsid w:val="00E66F9C"/>
    <w:rsid w:val="00E67B9B"/>
    <w:rsid w:val="00E70256"/>
    <w:rsid w:val="00E82E1B"/>
    <w:rsid w:val="00E91F58"/>
    <w:rsid w:val="00EA646E"/>
    <w:rsid w:val="00EB6D72"/>
    <w:rsid w:val="00EC2E37"/>
    <w:rsid w:val="00ED0495"/>
    <w:rsid w:val="00ED74D2"/>
    <w:rsid w:val="00EE6B76"/>
    <w:rsid w:val="00EF07E4"/>
    <w:rsid w:val="00F11D68"/>
    <w:rsid w:val="00F24132"/>
    <w:rsid w:val="00F2790E"/>
    <w:rsid w:val="00F325B7"/>
    <w:rsid w:val="00F334DE"/>
    <w:rsid w:val="00F56A61"/>
    <w:rsid w:val="00F73300"/>
    <w:rsid w:val="00F815D5"/>
    <w:rsid w:val="00F8326E"/>
    <w:rsid w:val="00F857CD"/>
    <w:rsid w:val="00F95E34"/>
    <w:rsid w:val="00FB00FB"/>
    <w:rsid w:val="00FB1DFD"/>
    <w:rsid w:val="00FC558A"/>
    <w:rsid w:val="00FE128D"/>
    <w:rsid w:val="00FF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5B7"/>
    <w:pPr>
      <w:tabs>
        <w:tab w:val="center" w:pos="4252"/>
        <w:tab w:val="right" w:pos="8504"/>
      </w:tabs>
      <w:snapToGrid w:val="0"/>
    </w:pPr>
  </w:style>
  <w:style w:type="character" w:customStyle="1" w:styleId="a5">
    <w:name w:val="ヘッダー (文字)"/>
    <w:basedOn w:val="a0"/>
    <w:link w:val="a4"/>
    <w:uiPriority w:val="99"/>
    <w:rsid w:val="00F325B7"/>
  </w:style>
  <w:style w:type="paragraph" w:styleId="a6">
    <w:name w:val="footer"/>
    <w:basedOn w:val="a"/>
    <w:link w:val="a7"/>
    <w:uiPriority w:val="99"/>
    <w:unhideWhenUsed/>
    <w:rsid w:val="00F325B7"/>
    <w:pPr>
      <w:tabs>
        <w:tab w:val="center" w:pos="4252"/>
        <w:tab w:val="right" w:pos="8504"/>
      </w:tabs>
      <w:snapToGrid w:val="0"/>
    </w:pPr>
  </w:style>
  <w:style w:type="character" w:customStyle="1" w:styleId="a7">
    <w:name w:val="フッター (文字)"/>
    <w:basedOn w:val="a0"/>
    <w:link w:val="a6"/>
    <w:uiPriority w:val="99"/>
    <w:rsid w:val="00F325B7"/>
  </w:style>
  <w:style w:type="paragraph" w:styleId="a8">
    <w:name w:val="List Paragraph"/>
    <w:basedOn w:val="a"/>
    <w:uiPriority w:val="34"/>
    <w:qFormat/>
    <w:rsid w:val="009F3278"/>
    <w:pPr>
      <w:ind w:leftChars="400" w:left="840"/>
    </w:pPr>
  </w:style>
  <w:style w:type="paragraph" w:styleId="a9">
    <w:name w:val="Balloon Text"/>
    <w:basedOn w:val="a"/>
    <w:link w:val="aa"/>
    <w:uiPriority w:val="99"/>
    <w:semiHidden/>
    <w:unhideWhenUsed/>
    <w:rsid w:val="00ED7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4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5B7"/>
    <w:pPr>
      <w:tabs>
        <w:tab w:val="center" w:pos="4252"/>
        <w:tab w:val="right" w:pos="8504"/>
      </w:tabs>
      <w:snapToGrid w:val="0"/>
    </w:pPr>
  </w:style>
  <w:style w:type="character" w:customStyle="1" w:styleId="a5">
    <w:name w:val="ヘッダー (文字)"/>
    <w:basedOn w:val="a0"/>
    <w:link w:val="a4"/>
    <w:uiPriority w:val="99"/>
    <w:rsid w:val="00F325B7"/>
  </w:style>
  <w:style w:type="paragraph" w:styleId="a6">
    <w:name w:val="footer"/>
    <w:basedOn w:val="a"/>
    <w:link w:val="a7"/>
    <w:uiPriority w:val="99"/>
    <w:unhideWhenUsed/>
    <w:rsid w:val="00F325B7"/>
    <w:pPr>
      <w:tabs>
        <w:tab w:val="center" w:pos="4252"/>
        <w:tab w:val="right" w:pos="8504"/>
      </w:tabs>
      <w:snapToGrid w:val="0"/>
    </w:pPr>
  </w:style>
  <w:style w:type="character" w:customStyle="1" w:styleId="a7">
    <w:name w:val="フッター (文字)"/>
    <w:basedOn w:val="a0"/>
    <w:link w:val="a6"/>
    <w:uiPriority w:val="99"/>
    <w:rsid w:val="00F325B7"/>
  </w:style>
  <w:style w:type="paragraph" w:styleId="a8">
    <w:name w:val="List Paragraph"/>
    <w:basedOn w:val="a"/>
    <w:uiPriority w:val="34"/>
    <w:qFormat/>
    <w:rsid w:val="009F3278"/>
    <w:pPr>
      <w:ind w:leftChars="400" w:left="840"/>
    </w:pPr>
  </w:style>
  <w:style w:type="paragraph" w:styleId="a9">
    <w:name w:val="Balloon Text"/>
    <w:basedOn w:val="a"/>
    <w:link w:val="aa"/>
    <w:uiPriority w:val="99"/>
    <w:semiHidden/>
    <w:unhideWhenUsed/>
    <w:rsid w:val="00ED7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4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F083-6605-4572-8E1F-90B4DB6D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NPO人材開発機構</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恭子</dc:creator>
  <cp:lastModifiedBy>高木 恭子</cp:lastModifiedBy>
  <cp:revision>53</cp:revision>
  <cp:lastPrinted>2018-12-07T05:13:00Z</cp:lastPrinted>
  <dcterms:created xsi:type="dcterms:W3CDTF">2019-12-30T14:24:00Z</dcterms:created>
  <dcterms:modified xsi:type="dcterms:W3CDTF">2020-01-08T03:35:00Z</dcterms:modified>
</cp:coreProperties>
</file>